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1184bf7422f4f9a"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DEZVOLTARE ACTIVITATI NON AGRICOLE IN GAL</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14</w:t>
            </w:r>
          </w:p>
        </w:tc>
        <w:tc>
          <w:tcPr>
            <w:vAlign w:val="center"/>
          </w:tcPr>
          <w:p>
            <w:r>
              <w:rPr>
                <w:rFonts w:ascii="Cambria Bold" w:hAnsi="Cambria Bold"/>
                <w:b/>
                <w:color w:val="1B4167"/>
                <w:sz w:val="24"/>
              </w:rPr>
              <w:t>Solicitantul se angajează să includa in categoria active proprii achizitiile din proiect si sa asigure întreținerea/mentenanța investiției pe o perioadă de minim 5 ani de la data ultimei plata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cadrul declaratiei din cererea de Finantare daca solicitantul</w:t>
            </w:r>
          </w:p>
          <w:p>
            <w:pPr>
              <w:spacing w:line="360" w:lineRule="auto"/>
              <w:ind w:left="0" w:right="0" w:firstLine="493"/>
            </w:pPr>
            <w:r>
              <w:rPr>
                <w:rFonts w:ascii="Cambria" w:hAnsi="Cambria"/>
                <w:b w:val="false"/>
                <w:sz w:val="24"/>
              </w:rPr>
              <w:t>si-a insusit mentenanta in perioada de monitorizare a investitiei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Investiția să se încadreze în tipul de sprijin prevăzut prin interventie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cadrul cererii de finantare si a documentelor anexedaca Investiția  se încadreza în tipul de sprijin prevăzut prin interventie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Solicitantii au sediul social si punctul/punctele de lucru şi îşi desfăşoară activitatea pe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Solicitantii au atat sediul social cat si punctul/punctele de lucru şi îşidesfăşoară activitatea pe teritoriul GAL - in certificatul de inmatriculare alfirmei sau in certificatul constatator de la ONRC se verfica dacasolicitantul are atat sediul social cat si punctul/punctele de lucru alefirmei in teritoriul GAL Valea Teleajenului. In situatia in care solicitantiiNU au atat sediul social cat si punctul/punctele de lucru in teritoriul GAL -proiectul devine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Reprezentantul legal al beneficiarului are domiciliul in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Reprezentantul legal al beneficiarului are domiciliul in teritoriul GAL - severifica in cartea de identitate a reprezentantului legal al firmei dacaacesta are domiciliul in teritoriul GAL. Nu se accepta viza de flotant. Insituatia in care Reprezentantul legal al beneficiarului NU are domiciliul interitoriul GAL proiectul devine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18</w:t>
            </w:r>
          </w:p>
        </w:tc>
        <w:tc>
          <w:tcPr>
            <w:vAlign w:val="center"/>
          </w:tcPr>
          <w:p>
            <w:r>
              <w:rPr>
                <w:rFonts w:ascii="Cambria Bold" w:hAnsi="Cambria Bold"/>
                <w:b/>
                <w:color w:val="1B4167"/>
                <w:sz w:val="24"/>
              </w:rPr>
              <w:t>Nu au datorii la bugetul general consolidat şi la bugetele locale, atât pentru sediul social, cât şi pentru toate punctele de lucru, dupa caz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declaratia F din cererea de finantare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19</w:t>
            </w:r>
          </w:p>
        </w:tc>
        <w:tc>
          <w:tcPr>
            <w:vAlign w:val="center"/>
          </w:tcPr>
          <w:p>
            <w:pPr>
              <w:spacing w:line="360" w:lineRule="auto"/>
              <w:ind w:left="0" w:right="0" w:firstLine="493"/>
            </w:pPr>
            <w:r>
              <w:rPr>
                <w:rFonts w:ascii="Cambria Bold" w:hAnsi="Cambria Bold"/>
                <w:b/>
                <w:color w:val="1B4167"/>
                <w:sz w:val="24"/>
              </w:rPr>
              <w:t>Codul CAEN pentru care solicită finanţare este eligibil în cadrul apelului de proiecte </w:t>
            </w:r>
          </w:p>
          <w:p>
            <w:pPr>
              <w:spacing w:line="360" w:lineRule="auto"/>
              <w:ind w:left="0" w:right="0" w:firstLine="493"/>
            </w:pPr>
            <w:r>
              <w:rPr>
                <w:rFonts w:ascii="Cambria Bold" w:hAnsi="Cambria Bold"/>
                <w:b/>
                <w:color w:val="1B4167"/>
                <w:sz w:val="24"/>
              </w:rPr>
              <w:t>Prin proiect se sprijina actiuni specifice teritoriului GAL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Codul CAEN se încadrează în Anexa 13 - Lista codurilor CAEN aferenteactivitățilore neagricole eligibile la finanțare în cadrul intervenției DR 36?In situația în care nu este clară încadrarea activității solictantului în codulCAEN eligibil menționat în Anexa 13, se va solicita acestuia, prininformații suplimentare, o adresă emisă de Institutul Național deStatistică privind menționarea explicită a încadrării activității în codulCAEN respectiv detaliat la nivel de sub-clasă.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20</w:t>
            </w:r>
          </w:p>
        </w:tc>
        <w:tc>
          <w:tcPr>
            <w:vAlign w:val="center"/>
          </w:tcPr>
          <w:p>
            <w:r>
              <w:rPr>
                <w:rFonts w:ascii="Cambria Bold" w:hAnsi="Cambria Bold"/>
                <w:b/>
                <w:color w:val="1B4167"/>
                <w:sz w:val="24"/>
              </w:rPr>
              <w:t>Prin proiect se va crea minim un loc de munca cu minim jumatate de norma (Minim 4 ore/zi-20 ore/saptamana)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cadrul cererii de finantare si a documentelor anexe daca esteprevazuta angajarea a minim o persoana cu u minim jumatate de norma(Minim 4 ore/zi-20 ore/saptamana) . In cazul in care nu sunt mentiunidespre angajarea unei persoane cu minim jumatate de norma (Minim 4ore/zi-20 ore/saptamana) proiectul este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21</w:t>
            </w:r>
          </w:p>
        </w:tc>
        <w:tc>
          <w:tcPr>
            <w:vAlign w:val="center"/>
          </w:tcPr>
          <w:p>
            <w:r>
              <w:rPr>
                <w:rFonts w:ascii="Cambria Bold" w:hAnsi="Cambria Bold"/>
                <w:b/>
                <w:color w:val="1B4167"/>
                <w:sz w:val="24"/>
              </w:rPr>
              <w:t>Prin aceasta interventie se stimuleaza cresterea competitivitatii firmelor din mediul rural si patrunderea lor pe noi piete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Codul CAEN se încadrează în Anexa 13 - Lista codurilor CAEN aferenteactivitățilore neagricole eligibile la finanțare în cadrul intervenției DR 36?In situația în care nu este clară încadrarea activității solictantului în codulCAEN eligibil menționat în Anexa 13, se va solicita acestuia, prininformații suplimentare, o adresă emisă de Institutul Național deStatistică privind menționarea explicită a încadrării activității în codulCAEN respectiv detaliat la nivel de sub-clasă.Prestarea de servicii/comercializarea se poate desfasura si in afara teritoriului GAL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22</w:t>
            </w:r>
          </w:p>
        </w:tc>
        <w:tc>
          <w:tcPr>
            <w:vAlign w:val="center"/>
          </w:tcPr>
          <w:p>
            <w:r>
              <w:rPr>
                <w:rFonts w:ascii="Cambria Bold" w:hAnsi="Cambria Bold"/>
                <w:b/>
                <w:color w:val="1B4167"/>
                <w:sz w:val="24"/>
              </w:rPr>
              <w:t>Prin proiect se promoveaza diversificarea gamei de produse si servicii din zona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viabilitatea economica a proiectului propus si descriereapitetelor de desfacere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Crearea de locuri de munca</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Prin proiect se va crea minim un loc de munca cu norma intreaga</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daca indocumentatia depusa este prevazut ca obiectiv crearea a minim un loc de munca cu norma intreaga si se va puncta cu 20 puncte. In situatia in care prin proiect se va crea minim un loc de munca cu minim jumatate de norma (minim 4 ore/zi - 20ore/saptamana) - Nu se va acorda punctaj la acest criteriu.</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Tipul activitatii propuse prin proiect</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Codul CAEN al activitatii propuse prin proiect este aferent unei activitati mestesugaresti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daca codul CAEN se încadrează în Anexa 13 - Lista codurilor CAEN aferente activitățilore neagricole eligibile la finanțare în cadrul intervenției DR 36 - la activitati de productie (conform anexa "indeplinire criteriu de selectie nr. 2") si daca s-a atasat un carnet/certificat de mestesugar pentru reprezentantul legal al solicitantului/pentru solicitant. In situatie in care nu s-a atasat un carnet/certificat de mestesugar pentru reprezentantul legal al solicitantului sau pentru solicitant se va acorda punctaj pentru activitatea de productie.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Codul CAEN al activitatii propuse prin proiect este aferent unei activitati de productie</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daca codul CAEN se încadrează în Anexa 13 - Lista codurilor CAEN aferente activitățilore neagricole eligibile la finanțare în cadrul intervenției DR 36 - la activitati de productie (conform anexa "indeplinire criteriu de selectie nr. 2") si se va acorda punctajul aferent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Codul CAEN al activitatii propuse prin proiect este aferent unei activitati de servicii</w:t>
            </w:r>
          </w:p>
          <w:p>
            <w:r>
              <w:rPr>
                <w:rFonts w:ascii="Cambria" w:hAnsi="Cambria"/>
                <w:b w:val="false"/>
                <w:color w:val="58400C"/>
                <w:sz w:val="24"/>
              </w:rPr>
              <w:t>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daca codul CAEN se încadrează în Anexa 13 - Lista codurilor CAEN aferente activităților neagricole eligibile la finanțare în cadrul intervenției DR 36 - la activitati de prestare servicii (conform anexa "indeplinire criteriu de selectie nr. 2") si se va acorda punctajul aferent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Valoarea totala a proiectului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Valoarea sprijinului nerambursabil este in procent de sub 40% din valoarea totala  a proiectului</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din cererea de finantare procentul rezultat din:  valoarea sprijinul nerambursabil solicitat - raportat la valoarea totala a proiectului ( fara TVA) *100 . Punctajul va depinde de acest raport.</w:t>
            </w:r>
          </w:p>
          <w:p>
            <w:pPr>
              <w:spacing w:line="360" w:lineRule="auto"/>
              <w:ind w:left="0" w:right="0" w:firstLine="493"/>
            </w:pPr>
            <w:r>
              <w:rPr>
                <w:rFonts w:ascii="Cambria" w:hAnsi="Cambria"/>
                <w:b w:val="false"/>
                <w:sz w:val="24"/>
              </w:rPr>
              <w:t>Atentie! Rata sprijinului este de 65% din valoarea cheltuielilor eligibile fara a depasi valoarea maxima nerambursabila a unui proiect prevazuta in apelul de selectie.</w:t>
            </w:r>
          </w:p>
          <w:p>
            <w:pPr>
              <w:spacing w:line="360" w:lineRule="auto"/>
              <w:ind w:left="0" w:right="0" w:firstLine="493"/>
            </w:pPr>
            <w:r>
              <w:rPr>
                <w:rFonts w:ascii="Cambria" w:hAnsi="Cambria"/>
                <w:b w:val="false"/>
                <w:sz w:val="24"/>
              </w:rPr>
              <w:t>Valoarea fara TVA se ia in calcul indiferent daca solicitantul este platitor sau Nu de TVA.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Valoarea sprijinului nerambursabil este in procent de peste 40% si sub 50% din valoarea totala  a  </w:t>
            </w:r>
            <w:r>
              <w:rPr>
                <w:rFonts w:ascii="Cambria Italic" w:hAnsi="Cambria Italic"/>
                <w:b w:val="false"/>
                <w:i/>
                <w:color w:val="58400C"/>
                <w:sz w:val="24"/>
              </w:rPr>
              <w:t>proiectului</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din cererea de finantare procentul rezultat din:  valoarea sprijinul nerambursabil solicitat - raportat la valoarea totala a proiectului ( fara TVA) *100 . Punctajul va depinde de acest raport.</w:t>
            </w:r>
          </w:p>
          <w:p>
            <w:pPr>
              <w:spacing w:line="360" w:lineRule="auto"/>
              <w:ind w:left="0" w:right="0" w:firstLine="493"/>
            </w:pPr>
            <w:r>
              <w:rPr>
                <w:rFonts w:ascii="Cambria" w:hAnsi="Cambria"/>
                <w:b w:val="false"/>
                <w:sz w:val="24"/>
              </w:rPr>
              <w:t>Atentie! Rata sprijinului este de 65% din valoarea cheltuielilor eligibile fara a depasi valoarea maxima nerambursabila a unui proiect prevazuta in apelul de selectie.</w:t>
            </w:r>
          </w:p>
          <w:p>
            <w:pPr>
              <w:spacing w:line="360" w:lineRule="auto"/>
              <w:ind w:left="0" w:right="0" w:firstLine="493"/>
            </w:pPr>
            <w:r>
              <w:rPr>
                <w:rFonts w:ascii="Cambria" w:hAnsi="Cambria"/>
                <w:b w:val="false"/>
                <w:sz w:val="24"/>
              </w:rPr>
              <w:t>Valoarea fara TVA se ia in calcul indiferent daca solicitantul este platitor sau Nu de TVA.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Valoarea sprijinului nerambursabil este in procent de sub 65% din valoarea totala a proiectului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din cererea de finantare procentul rezultat din:  valoarea sprijinul nerambursabil solicitat - raportat la valoarea totala a proiectului ( fara TVA) *100 . Punctajul va depinde de acest raport.</w:t>
            </w:r>
          </w:p>
          <w:p>
            <w:pPr>
              <w:spacing w:line="360" w:lineRule="auto"/>
              <w:ind w:left="0" w:right="0" w:firstLine="493"/>
            </w:pPr>
            <w:r>
              <w:rPr>
                <w:rFonts w:ascii="Cambria" w:hAnsi="Cambria"/>
                <w:b w:val="false"/>
                <w:sz w:val="24"/>
              </w:rPr>
              <w:t>Atentie! Rata sprijinului este de 65% din valoarea cheltuielilor eligibile fara a depasi valoarea maxima nerambursabila a unui proiect prevazuta in apelul de selectie.</w:t>
            </w:r>
          </w:p>
          <w:p>
            <w:pPr>
              <w:spacing w:line="360" w:lineRule="auto"/>
              <w:ind w:left="0" w:right="0" w:firstLine="493"/>
            </w:pPr>
            <w:r>
              <w:rPr>
                <w:rFonts w:ascii="Cambria" w:hAnsi="Cambria"/>
                <w:b w:val="false"/>
                <w:sz w:val="24"/>
              </w:rPr>
              <w:t>Valoarea fara TVA se ia in calcul indiferent daca solicitantul este platitor sau Nu de TVA.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Proiectul prevede investitii in masuri de protectie a mediului si/sau energie regenerabila</w:t>
            </w:r>
          </w:p>
        </w:tc>
        <w:tc>
          <w:tcPr>
            <w:shd w:val="clear" w:color="auto" w:fill="CCE1DB"/>
            <w:vAlign w:val="center"/>
          </w:tcPr>
          <w:p>
            <w:pPr>
              <w:spacing w:line="360" w:lineRule="auto"/>
              <w:ind w:left="0" w:right="0" w:firstLine="493"/>
            </w:pPr>
            <w:r>
              <w:rPr>
                <w:rFonts w:ascii="Cambria Bold" w:hAnsi="Cambria Bold"/>
                <w:b/>
                <w:color w:val="014935"/>
                <w:sz w:val="24"/>
              </w:rPr>
              <w:t>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Proiectul prevede investitii in masuri de protectie a mediului si/sau energie regenerabila </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r>
              <w:rPr>
                <w:rFonts w:ascii="Cambria" w:hAnsi="Cambria"/>
                <w:b w:val="false"/>
                <w:sz w:val="24"/>
              </w:rPr>
              <w:t>Prin proiect se regasesc investitii in masuri de protectie a mediului si/sau energie regenerabila</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Reprezentantul legal este femeie sau tanar (18-30 ani)</w:t>
            </w:r>
          </w:p>
        </w:tc>
        <w:tc>
          <w:tcPr>
            <w:shd w:val="clear" w:color="auto" w:fill="CCE1DB"/>
            <w:vAlign w:val="center"/>
          </w:tcPr>
          <w:p>
            <w:pPr>
              <w:spacing w:line="360" w:lineRule="auto"/>
              <w:ind w:left="0" w:right="0" w:firstLine="493"/>
            </w:pPr>
            <w:r>
              <w:rPr>
                <w:rFonts w:ascii="Cambria Bold" w:hAnsi="Cambria Bold"/>
                <w:b/>
                <w:color w:val="014935"/>
                <w:sz w:val="24"/>
              </w:rPr>
              <w:t>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Reprezentantul legal este femeie sau tanar (18-30 ani)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Reprezentantul legal al beneficiarului este femeie sau tanar (intre 18 si 30 de ani) - se verifica in cartea de identitate a reprezentantului legal al firmei daca acesta are varsta cuprinsa intre 18 si 30 de ani ( pana la implinirea varstei de 31 de ani) sau daca este de sex feminin. Pentru persoanele de sex feminin nu se verifica conditia de varsta.</w:t>
            </w:r>
          </w:p>
          <w:p>
            <w:pPr>
              <w:spacing w:line="360" w:lineRule="auto"/>
              <w:ind w:left="0" w:right="0" w:firstLine="493"/>
            </w:pPr>
            <w:r>
              <w:rPr>
                <w:rFonts w:ascii="Cambria" w:hAnsi="Cambria"/>
                <w:b w:val="false"/>
                <w:sz w:val="24"/>
              </w:rPr>
              <w:t>Daca reprezentantului legal al firmei NU are varsta cuprinsa intre 18 si 30 de ani ( pana la implinirea varstei de 31 de ani) sau NU este de sex feminin - nu se puncteaza acest criteriu.</w:t>
            </w:r>
          </w:p>
          <w:p>
            <w:pPr>
              <w:spacing w:line="360" w:lineRule="auto"/>
              <w:ind w:left="0" w:right="0" w:firstLine="493"/>
            </w:pPr>
            <w:r>
              <w:rPr>
                <w:rFonts w:ascii="Cambria" w:hAnsi="Cambria"/>
                <w:b w:val="false"/>
                <w:sz w:val="24"/>
              </w:rPr>
              <w:t>De asemena incadrarea reprezentantului legal al firmei pentru indeplinirea acestui criteriu (daca acesta are varsta cuprinsa intre 18 si 30 de ani ( pana la implinirea varstei de 31 de ani) sau daca este de sex feminin)  este luata in considerare numai in cazul in care acesta este unul din asociatii firmei.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Valoarea total eligibila a</w:t>
            </w:r>
          </w:p>
          <w:p>
            <w:pPr>
              <w:spacing w:line="360" w:lineRule="auto"/>
              <w:ind w:left="0" w:right="0" w:firstLine="493"/>
            </w:pPr>
            <w:r>
              <w:rPr>
                <w:rFonts w:ascii="Cambria Italic" w:hAnsi="Cambria Italic"/>
                <w:b w:val="false"/>
                <w:i/>
                <w:color w:val="58400C"/>
                <w:sz w:val="24"/>
              </w:rPr>
              <w:t>proiectului</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In situatia in care doua sau mai multe proiecte au punctaj egal acestea se</w:t>
            </w:r>
          </w:p>
          <w:p>
            <w:pPr>
              <w:spacing w:line="360" w:lineRule="auto"/>
              <w:ind w:left="0" w:right="0" w:firstLine="493"/>
            </w:pPr>
            <w:r>
              <w:rPr>
                <w:rFonts w:ascii="Cambria" w:hAnsi="Cambria"/>
                <w:b w:val="false"/>
                <w:sz w:val="24"/>
              </w:rPr>
              <w:t>vor aseza in ordine descrescatoare a Valoarii totale , fara TVA, a proiectului.</w:t>
            </w:r>
          </w:p>
          <w:p>
            <w:pPr>
              <w:spacing w:line="360" w:lineRule="auto"/>
              <w:ind w:left="0" w:right="0" w:firstLine="493"/>
            </w:pPr>
            <w:r>
              <w:rPr>
                <w:rFonts w:ascii="Cambria" w:hAnsi="Cambria"/>
                <w:b w:val="false"/>
                <w:sz w:val="24"/>
              </w:rPr>
              <w:t>Valoariea totala  a proiectului luata in considerare este aceea</w:t>
            </w:r>
          </w:p>
          <w:p>
            <w:pPr>
              <w:spacing w:line="360" w:lineRule="auto"/>
              <w:ind w:left="0" w:right="0" w:firstLine="493"/>
            </w:pPr>
            <w:r>
              <w:rPr>
                <w:rFonts w:ascii="Cambria" w:hAnsi="Cambria"/>
                <w:b w:val="false"/>
                <w:sz w:val="24"/>
              </w:rPr>
              <w:t>stabilita in urma finalizarii eligibilitatii proiectului. In situatia in care fata</w:t>
            </w:r>
          </w:p>
          <w:p>
            <w:pPr>
              <w:spacing w:line="360" w:lineRule="auto"/>
              <w:ind w:left="0" w:right="0" w:firstLine="493"/>
            </w:pPr>
            <w:r>
              <w:rPr>
                <w:rFonts w:ascii="Cambria" w:hAnsi="Cambria"/>
                <w:b w:val="false"/>
                <w:sz w:val="24"/>
              </w:rPr>
              <w:t>de momentul depunere cerere de finantare - valoarea totala fara TVA a</w:t>
            </w:r>
          </w:p>
          <w:p>
            <w:pPr>
              <w:spacing w:line="360" w:lineRule="auto"/>
              <w:ind w:left="0" w:right="0" w:firstLine="493"/>
            </w:pPr>
            <w:r>
              <w:rPr>
                <w:rFonts w:ascii="Cambria" w:hAnsi="Cambria"/>
                <w:b w:val="false"/>
                <w:sz w:val="24"/>
              </w:rPr>
              <w:t>proiectului scade - se va lua in calcul valoarea de la momentul aprobarii</w:t>
            </w:r>
          </w:p>
          <w:p>
            <w:pPr>
              <w:spacing w:line="360" w:lineRule="auto"/>
              <w:ind w:left="0" w:right="0" w:firstLine="493"/>
            </w:pPr>
            <w:r>
              <w:rPr>
                <w:rFonts w:ascii="Cambria" w:hAnsi="Cambria"/>
                <w:b w:val="false"/>
                <w:sz w:val="24"/>
              </w:rPr>
              <w:t>eligibilitatii. Valoarea fara TVA se ia in calcul indiferent daca solicitantul este platitor sau Nu de TVA.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w:hAnsi="Cambria"/>
                <w:b w:val="false"/>
                <w:color w:val="58400C"/>
                <w:sz w:val="24"/>
              </w:rPr>
              <w:t>Momentul depunerii</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In situatia in care doua sau mai multe proiecte indeplinesc primul criteriu de departajare se vor aseza in ordinea depunerii - primul proiect depus avand prioritate in fata celorlalte</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7f241ac223943a3" /></Relationships>
</file>